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EDC" w:rsidRDefault="00DF6999">
      <w:pPr>
        <w:rPr>
          <w:b/>
          <w:lang w:val="en-US"/>
        </w:rPr>
      </w:pPr>
      <w:r>
        <w:rPr>
          <w:b/>
          <w:lang w:val="en-US"/>
        </w:rPr>
        <w:t>SUPPLEMENTARY MATERIAL</w:t>
      </w:r>
    </w:p>
    <w:p w:rsidR="006C6EDC" w:rsidRDefault="006C6EDC">
      <w:pPr>
        <w:rPr>
          <w:lang w:val="en-US"/>
        </w:rPr>
      </w:pPr>
    </w:p>
    <w:p w:rsidR="006C6EDC" w:rsidRDefault="00DF6999">
      <w:pPr>
        <w:jc w:val="both"/>
        <w:rPr>
          <w:lang w:val="en-US"/>
        </w:rPr>
      </w:pPr>
      <w:r>
        <w:rPr>
          <w:b/>
          <w:lang w:val="en-US"/>
        </w:rPr>
        <w:t>Supplement Table 1.</w:t>
      </w:r>
      <w:r>
        <w:rPr>
          <w:lang w:val="en-US"/>
        </w:rPr>
        <w:t xml:space="preserve"> Distribution of forest management unit sizes (in ha): minimum, median, mean, and maximum values.</w:t>
      </w:r>
    </w:p>
    <w:tbl>
      <w:tblPr>
        <w:tblW w:w="7658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3282"/>
        <w:gridCol w:w="1034"/>
        <w:gridCol w:w="1125"/>
        <w:gridCol w:w="1118"/>
        <w:gridCol w:w="1099"/>
      </w:tblGrid>
      <w:tr w:rsidR="006C6EDC">
        <w:trPr>
          <w:trHeight w:val="315"/>
        </w:trPr>
        <w:tc>
          <w:tcPr>
            <w:tcW w:w="328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Forest Management Unit</w:t>
            </w: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Minimum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Median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Mean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Maximum</w:t>
            </w:r>
          </w:p>
        </w:tc>
      </w:tr>
      <w:tr w:rsidR="006C6EDC">
        <w:trPr>
          <w:trHeight w:val="315"/>
        </w:trPr>
        <w:tc>
          <w:tcPr>
            <w:tcW w:w="3282" w:type="dxa"/>
            <w:tcBorders>
              <w:top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Forest regional directorates</w:t>
            </w:r>
          </w:p>
        </w:tc>
        <w:tc>
          <w:tcPr>
            <w:tcW w:w="1034" w:type="dxa"/>
            <w:tcBorders>
              <w:top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lang w:val="en-US"/>
              </w:rPr>
            </w:pPr>
            <w:r>
              <w:rPr>
                <w:lang w:val="en-US"/>
              </w:rPr>
              <w:t>6906.9</w:t>
            </w:r>
          </w:p>
        </w:tc>
        <w:tc>
          <w:tcPr>
            <w:tcW w:w="1125" w:type="dxa"/>
            <w:tcBorders>
              <w:top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lang w:val="en-US"/>
              </w:rPr>
            </w:pPr>
            <w:r>
              <w:rPr>
                <w:lang w:val="en-US"/>
              </w:rPr>
              <w:t>18458.8</w:t>
            </w:r>
          </w:p>
        </w:tc>
        <w:tc>
          <w:tcPr>
            <w:tcW w:w="1118" w:type="dxa"/>
            <w:tcBorders>
              <w:top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lang w:val="en-US"/>
              </w:rPr>
            </w:pPr>
            <w:r>
              <w:rPr>
                <w:lang w:val="en-US"/>
              </w:rPr>
              <w:t>27624.8</w:t>
            </w:r>
          </w:p>
        </w:tc>
        <w:tc>
          <w:tcPr>
            <w:tcW w:w="1099" w:type="dxa"/>
            <w:tcBorders>
              <w:top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lang w:val="en-US"/>
              </w:rPr>
            </w:pPr>
            <w:r>
              <w:rPr>
                <w:lang w:val="en-US"/>
              </w:rPr>
              <w:t>82445.2</w:t>
            </w:r>
          </w:p>
        </w:tc>
      </w:tr>
      <w:tr w:rsidR="006C6EDC">
        <w:trPr>
          <w:trHeight w:val="315"/>
        </w:trPr>
        <w:tc>
          <w:tcPr>
            <w:tcW w:w="3282" w:type="dxa"/>
            <w:vAlign w:val="bottom"/>
          </w:tcPr>
          <w:p w:rsidR="006C6EDC" w:rsidRDefault="00DF6999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Forest district directorates</w:t>
            </w:r>
          </w:p>
        </w:tc>
        <w:tc>
          <w:tcPr>
            <w:tcW w:w="1034" w:type="dxa"/>
            <w:vAlign w:val="bottom"/>
          </w:tcPr>
          <w:p w:rsidR="006C6EDC" w:rsidRDefault="00DF6999">
            <w:pPr>
              <w:widowControl w:val="0"/>
              <w:jc w:val="right"/>
              <w:rPr>
                <w:lang w:val="en-US"/>
              </w:rPr>
            </w:pPr>
            <w:r>
              <w:rPr>
                <w:lang w:val="en-US"/>
              </w:rPr>
              <w:t>164.4</w:t>
            </w:r>
          </w:p>
        </w:tc>
        <w:tc>
          <w:tcPr>
            <w:tcW w:w="1125" w:type="dxa"/>
            <w:vAlign w:val="bottom"/>
          </w:tcPr>
          <w:p w:rsidR="006C6EDC" w:rsidRDefault="00DF6999">
            <w:pPr>
              <w:widowControl w:val="0"/>
              <w:jc w:val="right"/>
              <w:rPr>
                <w:lang w:val="en-US"/>
              </w:rPr>
            </w:pPr>
            <w:r>
              <w:rPr>
                <w:lang w:val="en-US"/>
              </w:rPr>
              <w:t>1712.2</w:t>
            </w:r>
          </w:p>
        </w:tc>
        <w:tc>
          <w:tcPr>
            <w:tcW w:w="1118" w:type="dxa"/>
            <w:vAlign w:val="bottom"/>
          </w:tcPr>
          <w:p w:rsidR="006C6EDC" w:rsidRDefault="00DF6999">
            <w:pPr>
              <w:widowControl w:val="0"/>
              <w:jc w:val="right"/>
              <w:rPr>
                <w:lang w:val="en-US"/>
              </w:rPr>
            </w:pPr>
            <w:r>
              <w:rPr>
                <w:lang w:val="en-US"/>
              </w:rPr>
              <w:t>3144.3</w:t>
            </w:r>
          </w:p>
        </w:tc>
        <w:tc>
          <w:tcPr>
            <w:tcW w:w="1099" w:type="dxa"/>
            <w:vAlign w:val="bottom"/>
          </w:tcPr>
          <w:p w:rsidR="006C6EDC" w:rsidRDefault="00DF6999">
            <w:pPr>
              <w:widowControl w:val="0"/>
              <w:jc w:val="right"/>
              <w:rPr>
                <w:lang w:val="en-US"/>
              </w:rPr>
            </w:pPr>
            <w:r>
              <w:rPr>
                <w:lang w:val="en-US"/>
              </w:rPr>
              <w:t>29632.4</w:t>
            </w:r>
          </w:p>
        </w:tc>
      </w:tr>
      <w:tr w:rsidR="006C6EDC">
        <w:trPr>
          <w:trHeight w:val="315"/>
        </w:trPr>
        <w:tc>
          <w:tcPr>
            <w:tcW w:w="3282" w:type="dxa"/>
            <w:tcBorders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Forest sub-district directorates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lang w:val="en-US"/>
              </w:rPr>
            </w:pPr>
            <w:r>
              <w:rPr>
                <w:lang w:val="en-US"/>
              </w:rPr>
              <w:t>0.02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lang w:val="en-US"/>
              </w:rPr>
            </w:pPr>
            <w:r>
              <w:rPr>
                <w:lang w:val="en-US"/>
              </w:rPr>
              <w:t>234.9</w:t>
            </w:r>
          </w:p>
        </w:tc>
        <w:tc>
          <w:tcPr>
            <w:tcW w:w="1118" w:type="dxa"/>
            <w:tcBorders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lang w:val="en-US"/>
              </w:rPr>
            </w:pPr>
            <w:r>
              <w:rPr>
                <w:lang w:val="en-US"/>
              </w:rPr>
              <w:t>554.9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lang w:val="en-US"/>
              </w:rPr>
            </w:pPr>
            <w:r>
              <w:rPr>
                <w:lang w:val="en-US"/>
              </w:rPr>
              <w:t>18908.5</w:t>
            </w:r>
          </w:p>
        </w:tc>
      </w:tr>
    </w:tbl>
    <w:p w:rsidR="006C6EDC" w:rsidRDefault="006C6EDC">
      <w:pPr>
        <w:rPr>
          <w:lang w:val="en-US"/>
        </w:rPr>
      </w:pPr>
    </w:p>
    <w:p w:rsidR="006C6EDC" w:rsidRDefault="006C6EDC">
      <w:pPr>
        <w:rPr>
          <w:lang w:val="en-US"/>
        </w:rPr>
      </w:pPr>
    </w:p>
    <w:p w:rsidR="006C6EDC" w:rsidRDefault="006C6EDC">
      <w:pPr>
        <w:rPr>
          <w:lang w:val="en-US"/>
        </w:rPr>
      </w:pPr>
    </w:p>
    <w:p w:rsidR="006C6EDC" w:rsidRDefault="006C6EDC">
      <w:pPr>
        <w:rPr>
          <w:lang w:val="en-US"/>
        </w:rPr>
      </w:pPr>
    </w:p>
    <w:p w:rsidR="006C6EDC" w:rsidRDefault="00DF6999">
      <w:pPr>
        <w:rPr>
          <w:b/>
          <w:lang w:val="en-US"/>
        </w:rPr>
      </w:pPr>
      <w:r>
        <w:br w:type="page"/>
      </w:r>
    </w:p>
    <w:p w:rsidR="006C6EDC" w:rsidRDefault="00DF6999">
      <w:pPr>
        <w:jc w:val="both"/>
        <w:rPr>
          <w:lang w:val="en-US"/>
        </w:rPr>
      </w:pPr>
      <w:r>
        <w:rPr>
          <w:b/>
          <w:lang w:val="en-US"/>
        </w:rPr>
        <w:lastRenderedPageBreak/>
        <w:t xml:space="preserve">Supplement Table 2. </w:t>
      </w:r>
      <w:r>
        <w:rPr>
          <w:lang w:val="en-US"/>
        </w:rPr>
        <w:t>Percentage of the number of fire incidents and burned area in six selected regions and the whole Türkiye (rows) based on various fire size classes (columns). A short version of this table is presented in Table 1.</w:t>
      </w:r>
    </w:p>
    <w:tbl>
      <w:tblPr>
        <w:tblW w:w="9075" w:type="dxa"/>
        <w:tblInd w:w="-30" w:type="dxa"/>
        <w:tblLayout w:type="fixed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15"/>
        <w:gridCol w:w="1020"/>
        <w:gridCol w:w="1456"/>
        <w:gridCol w:w="660"/>
        <w:gridCol w:w="1004"/>
        <w:gridCol w:w="1006"/>
        <w:gridCol w:w="1004"/>
        <w:gridCol w:w="1006"/>
        <w:gridCol w:w="1004"/>
      </w:tblGrid>
      <w:tr w:rsidR="006C6EDC">
        <w:trPr>
          <w:trHeight w:val="255"/>
        </w:trPr>
        <w:tc>
          <w:tcPr>
            <w:tcW w:w="914" w:type="dxa"/>
            <w:tcBorders>
              <w:top w:val="single" w:sz="12" w:space="0" w:color="000000"/>
              <w:bottom w:val="single" w:sz="6" w:space="0" w:color="000000"/>
            </w:tcBorders>
            <w:vAlign w:val="bottom"/>
          </w:tcPr>
          <w:p w:rsidR="006C6EDC" w:rsidRDefault="006C6EDC">
            <w:pPr>
              <w:widowControl w:val="0"/>
              <w:rPr>
                <w:lang w:val="en-US"/>
              </w:rPr>
            </w:pPr>
          </w:p>
        </w:tc>
        <w:tc>
          <w:tcPr>
            <w:tcW w:w="1020" w:type="dxa"/>
            <w:tcBorders>
              <w:top w:val="single" w:sz="12" w:space="0" w:color="000000"/>
              <w:bottom w:val="single" w:sz="6" w:space="0" w:color="000000"/>
            </w:tcBorders>
            <w:vAlign w:val="bottom"/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tcBorders>
              <w:top w:val="single" w:sz="12" w:space="0" w:color="000000"/>
              <w:bottom w:val="single" w:sz="8" w:space="0" w:color="000000"/>
            </w:tcBorders>
            <w:vAlign w:val="bottom"/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5684" w:type="dxa"/>
            <w:gridSpan w:val="6"/>
            <w:tcBorders>
              <w:top w:val="single" w:sz="12" w:space="0" w:color="000000"/>
              <w:bottom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Fire size (ha)</w:t>
            </w:r>
          </w:p>
        </w:tc>
      </w:tr>
      <w:tr w:rsidR="006C6EDC">
        <w:trPr>
          <w:trHeight w:val="255"/>
        </w:trPr>
        <w:tc>
          <w:tcPr>
            <w:tcW w:w="914" w:type="dxa"/>
            <w:tcBorders>
              <w:top w:val="single" w:sz="12" w:space="0" w:color="000000"/>
              <w:bottom w:val="single" w:sz="6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1020" w:type="dxa"/>
            <w:tcBorders>
              <w:top w:val="single" w:sz="12" w:space="0" w:color="000000"/>
              <w:bottom w:val="single" w:sz="6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Origin</w:t>
            </w:r>
          </w:p>
        </w:tc>
        <w:tc>
          <w:tcPr>
            <w:tcW w:w="1456" w:type="dxa"/>
            <w:tcBorders>
              <w:top w:val="single" w:sz="12" w:space="0" w:color="000000"/>
              <w:bottom w:val="single" w:sz="8" w:space="0" w:color="000000"/>
            </w:tcBorders>
            <w:vAlign w:val="bottom"/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top w:val="single" w:sz="12" w:space="0" w:color="000000"/>
              <w:bottom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vertAlign w:val="superscript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0-10</w:t>
            </w:r>
            <w:r>
              <w:rPr>
                <w:b/>
                <w:sz w:val="20"/>
                <w:szCs w:val="20"/>
                <w:vertAlign w:val="superscript"/>
                <w:lang w:val="en-US"/>
              </w:rPr>
              <w:t>0</w:t>
            </w:r>
          </w:p>
        </w:tc>
        <w:tc>
          <w:tcPr>
            <w:tcW w:w="1004" w:type="dxa"/>
            <w:tcBorders>
              <w:top w:val="single" w:sz="12" w:space="0" w:color="000000"/>
              <w:bottom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vertAlign w:val="superscript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</w:t>
            </w:r>
            <w:r>
              <w:rPr>
                <w:b/>
                <w:sz w:val="20"/>
                <w:szCs w:val="20"/>
                <w:vertAlign w:val="superscript"/>
                <w:lang w:val="en-US"/>
              </w:rPr>
              <w:t>0</w:t>
            </w:r>
            <w:r>
              <w:rPr>
                <w:b/>
                <w:sz w:val="20"/>
                <w:szCs w:val="20"/>
                <w:lang w:val="en-US"/>
              </w:rPr>
              <w:t>-10</w:t>
            </w:r>
            <w:r>
              <w:rPr>
                <w:b/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1006" w:type="dxa"/>
            <w:tcBorders>
              <w:top w:val="single" w:sz="12" w:space="0" w:color="000000"/>
              <w:bottom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vertAlign w:val="superscript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</w:t>
            </w:r>
            <w:r>
              <w:rPr>
                <w:b/>
                <w:sz w:val="20"/>
                <w:szCs w:val="20"/>
                <w:vertAlign w:val="superscript"/>
                <w:lang w:val="en-US"/>
              </w:rPr>
              <w:t>1</w:t>
            </w:r>
            <w:r>
              <w:rPr>
                <w:b/>
                <w:sz w:val="20"/>
                <w:szCs w:val="20"/>
                <w:lang w:val="en-US"/>
              </w:rPr>
              <w:t>-10</w:t>
            </w:r>
            <w:r>
              <w:rPr>
                <w:b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004" w:type="dxa"/>
            <w:tcBorders>
              <w:top w:val="single" w:sz="12" w:space="0" w:color="000000"/>
              <w:bottom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b/>
                <w:sz w:val="20"/>
                <w:szCs w:val="20"/>
                <w:vertAlign w:val="superscript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</w:t>
            </w:r>
            <w:r>
              <w:rPr>
                <w:b/>
                <w:sz w:val="20"/>
                <w:szCs w:val="20"/>
                <w:vertAlign w:val="superscript"/>
                <w:lang w:val="en-US"/>
              </w:rPr>
              <w:t>2</w:t>
            </w:r>
            <w:r>
              <w:rPr>
                <w:b/>
                <w:sz w:val="20"/>
                <w:szCs w:val="20"/>
                <w:lang w:val="en-US"/>
              </w:rPr>
              <w:t>-10</w:t>
            </w:r>
            <w:r>
              <w:rPr>
                <w:b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006" w:type="dxa"/>
            <w:tcBorders>
              <w:top w:val="single" w:sz="12" w:space="0" w:color="000000"/>
              <w:bottom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vertAlign w:val="superscript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</w:t>
            </w:r>
            <w:r>
              <w:rPr>
                <w:b/>
                <w:sz w:val="20"/>
                <w:szCs w:val="20"/>
                <w:vertAlign w:val="superscript"/>
                <w:lang w:val="en-US"/>
              </w:rPr>
              <w:t>3</w:t>
            </w:r>
            <w:r>
              <w:rPr>
                <w:b/>
                <w:sz w:val="20"/>
                <w:szCs w:val="20"/>
                <w:lang w:val="en-US"/>
              </w:rPr>
              <w:t>-10</w:t>
            </w:r>
            <w:r>
              <w:rPr>
                <w:b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1004" w:type="dxa"/>
            <w:tcBorders>
              <w:top w:val="single" w:sz="12" w:space="0" w:color="000000"/>
              <w:bottom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vertAlign w:val="superscript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</w:t>
            </w:r>
            <w:r>
              <w:rPr>
                <w:b/>
                <w:sz w:val="20"/>
                <w:szCs w:val="20"/>
                <w:vertAlign w:val="superscript"/>
                <w:lang w:val="en-US"/>
              </w:rPr>
              <w:t>4</w:t>
            </w:r>
            <w:r>
              <w:rPr>
                <w:b/>
                <w:sz w:val="20"/>
                <w:szCs w:val="20"/>
                <w:lang w:val="en-US"/>
              </w:rPr>
              <w:t>-10</w:t>
            </w:r>
            <w:r>
              <w:rPr>
                <w:b/>
                <w:sz w:val="20"/>
                <w:szCs w:val="20"/>
                <w:vertAlign w:val="superscript"/>
                <w:lang w:val="en-US"/>
              </w:rPr>
              <w:t>5</w:t>
            </w:r>
          </w:p>
        </w:tc>
      </w:tr>
      <w:tr w:rsidR="006C6EDC">
        <w:trPr>
          <w:trHeight w:val="255"/>
        </w:trPr>
        <w:tc>
          <w:tcPr>
            <w:tcW w:w="914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Türkiye</w:t>
            </w:r>
          </w:p>
        </w:tc>
        <w:tc>
          <w:tcPr>
            <w:tcW w:w="1020" w:type="dxa"/>
            <w:vMerge w:val="restart"/>
            <w:tcBorders>
              <w:top w:val="single" w:sz="6" w:space="0" w:color="000000"/>
            </w:tcBorders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Human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39.17</w:t>
            </w:r>
          </w:p>
        </w:tc>
        <w:tc>
          <w:tcPr>
            <w:tcW w:w="1004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8.96</w:t>
            </w:r>
          </w:p>
        </w:tc>
        <w:tc>
          <w:tcPr>
            <w:tcW w:w="100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1.57</w:t>
            </w:r>
          </w:p>
        </w:tc>
        <w:tc>
          <w:tcPr>
            <w:tcW w:w="1004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0.28</w:t>
            </w:r>
          </w:p>
        </w:tc>
        <w:tc>
          <w:tcPr>
            <w:tcW w:w="100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0.04</w:t>
            </w:r>
          </w:p>
        </w:tc>
        <w:tc>
          <w:tcPr>
            <w:tcW w:w="1004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0.01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1.62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4.44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6.95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13.41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25.55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16.05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Lightning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11.50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0.74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0.07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0.01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0.26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0.35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0.30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0.61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29.27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7.13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1.05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0.18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1.24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3.61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4.68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7.61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9.87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3.45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tcBorders>
              <w:bottom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79.93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16.82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2.69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0.48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0.07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0.01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3.12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8.4</w:t>
            </w:r>
          </w:p>
        </w:tc>
        <w:tc>
          <w:tcPr>
            <w:tcW w:w="1006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11.93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21.63</w:t>
            </w:r>
          </w:p>
        </w:tc>
        <w:tc>
          <w:tcPr>
            <w:tcW w:w="1006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35.42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19.5</w:t>
            </w:r>
          </w:p>
        </w:tc>
      </w:tr>
      <w:tr w:rsidR="006C6EDC">
        <w:trPr>
          <w:trHeight w:val="255"/>
        </w:trPr>
        <w:tc>
          <w:tcPr>
            <w:tcW w:w="914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Muğla</w:t>
            </w:r>
            <w:proofErr w:type="spellEnd"/>
          </w:p>
        </w:tc>
        <w:tc>
          <w:tcPr>
            <w:tcW w:w="1020" w:type="dxa"/>
            <w:vMerge w:val="restart"/>
            <w:tcBorders>
              <w:top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Human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35.85</w:t>
            </w:r>
          </w:p>
        </w:tc>
        <w:tc>
          <w:tcPr>
            <w:tcW w:w="1004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4.41</w:t>
            </w:r>
          </w:p>
        </w:tc>
        <w:tc>
          <w:tcPr>
            <w:tcW w:w="1006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1.11</w:t>
            </w:r>
          </w:p>
        </w:tc>
        <w:tc>
          <w:tcPr>
            <w:tcW w:w="1004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0.22</w:t>
            </w:r>
          </w:p>
        </w:tc>
        <w:tc>
          <w:tcPr>
            <w:tcW w:w="1006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0.05</w:t>
            </w:r>
          </w:p>
        </w:tc>
        <w:tc>
          <w:tcPr>
            <w:tcW w:w="1004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0.02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0.78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1.28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2.84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5.32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17.49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17.85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Lightning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29.12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0.76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0.06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0.03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0.33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0.2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0.19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0.33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24.11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3.22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0.65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0.3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0.08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0.02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0.45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0.97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2.05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7.11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27.79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15.02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tcBorders>
              <w:bottom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89.08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8.39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1.82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0.55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0.13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0.03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1.55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2.45</w:t>
            </w:r>
          </w:p>
        </w:tc>
        <w:tc>
          <w:tcPr>
            <w:tcW w:w="1006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5.08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12.76</w:t>
            </w:r>
          </w:p>
        </w:tc>
        <w:tc>
          <w:tcPr>
            <w:tcW w:w="1006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45.28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32.87</w:t>
            </w:r>
          </w:p>
        </w:tc>
      </w:tr>
      <w:tr w:rsidR="006C6EDC">
        <w:trPr>
          <w:trHeight w:val="255"/>
        </w:trPr>
        <w:tc>
          <w:tcPr>
            <w:tcW w:w="914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Bolu</w:t>
            </w:r>
            <w:proofErr w:type="spellEnd"/>
          </w:p>
        </w:tc>
        <w:tc>
          <w:tcPr>
            <w:tcW w:w="1020" w:type="dxa"/>
            <w:vMerge w:val="restart"/>
            <w:tcBorders>
              <w:top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Human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27.63</w:t>
            </w:r>
          </w:p>
        </w:tc>
        <w:tc>
          <w:tcPr>
            <w:tcW w:w="1004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9.7</w:t>
            </w:r>
          </w:p>
        </w:tc>
        <w:tc>
          <w:tcPr>
            <w:tcW w:w="1006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1.35</w:t>
            </w:r>
          </w:p>
        </w:tc>
        <w:tc>
          <w:tcPr>
            <w:tcW w:w="1004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0.13</w:t>
            </w:r>
          </w:p>
        </w:tc>
        <w:tc>
          <w:tcPr>
            <w:tcW w:w="1006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3.88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9.84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20.33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13.7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Lightning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21.16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2.96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0.4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1.63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3.61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3.27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27.49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8.49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0.27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0.4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3.56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9.46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3.44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27.27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tcBorders>
              <w:bottom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76.28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21.16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2.02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0.54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9.08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22.91</w:t>
            </w:r>
          </w:p>
        </w:tc>
        <w:tc>
          <w:tcPr>
            <w:tcW w:w="1006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27.03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40.98</w:t>
            </w:r>
          </w:p>
        </w:tc>
        <w:tc>
          <w:tcPr>
            <w:tcW w:w="1006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İstanbul</w:t>
            </w:r>
          </w:p>
        </w:tc>
        <w:tc>
          <w:tcPr>
            <w:tcW w:w="1020" w:type="dxa"/>
            <w:vMerge w:val="restart"/>
            <w:tcBorders>
              <w:top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Human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42.37</w:t>
            </w:r>
          </w:p>
        </w:tc>
        <w:tc>
          <w:tcPr>
            <w:tcW w:w="1004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4.07</w:t>
            </w:r>
          </w:p>
        </w:tc>
        <w:tc>
          <w:tcPr>
            <w:tcW w:w="1006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0.37</w:t>
            </w:r>
          </w:p>
        </w:tc>
        <w:tc>
          <w:tcPr>
            <w:tcW w:w="1004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9.61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20.18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14.4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Lightning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0.97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0.03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0.28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0.17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48.51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3.37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0.23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0.07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12.68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15.26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13.33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14.11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tcBorders>
              <w:bottom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91.85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7.48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0.6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0.07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22.57</w:t>
            </w:r>
          </w:p>
        </w:tc>
        <w:tc>
          <w:tcPr>
            <w:tcW w:w="1004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35.6</w:t>
            </w:r>
          </w:p>
        </w:tc>
        <w:tc>
          <w:tcPr>
            <w:tcW w:w="1006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27.73</w:t>
            </w:r>
          </w:p>
        </w:tc>
        <w:tc>
          <w:tcPr>
            <w:tcW w:w="1004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14.11</w:t>
            </w:r>
          </w:p>
        </w:tc>
        <w:tc>
          <w:tcPr>
            <w:tcW w:w="1006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İzmir</w:t>
            </w:r>
          </w:p>
        </w:tc>
        <w:tc>
          <w:tcPr>
            <w:tcW w:w="1020" w:type="dxa"/>
            <w:vMerge w:val="restart"/>
            <w:tcBorders>
              <w:top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Human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74.91</w:t>
            </w:r>
          </w:p>
        </w:tc>
        <w:tc>
          <w:tcPr>
            <w:tcW w:w="1004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13.78</w:t>
            </w:r>
          </w:p>
        </w:tc>
        <w:tc>
          <w:tcPr>
            <w:tcW w:w="1006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2.55</w:t>
            </w:r>
          </w:p>
        </w:tc>
        <w:tc>
          <w:tcPr>
            <w:tcW w:w="1004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0.58</w:t>
            </w:r>
          </w:p>
        </w:tc>
        <w:tc>
          <w:tcPr>
            <w:tcW w:w="1006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0.06</w:t>
            </w:r>
          </w:p>
        </w:tc>
        <w:tc>
          <w:tcPr>
            <w:tcW w:w="1004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3.62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8.41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15.65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42.74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28.08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Lightning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5.7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0.52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0.12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0.28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0.06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1.48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0.33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0.04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0.08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0.15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0.25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0.55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tcBorders>
              <w:bottom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82.09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14.63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2.61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0.61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0.06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3.82</w:t>
            </w:r>
          </w:p>
        </w:tc>
        <w:tc>
          <w:tcPr>
            <w:tcW w:w="1004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8.84</w:t>
            </w:r>
          </w:p>
        </w:tc>
        <w:tc>
          <w:tcPr>
            <w:tcW w:w="1006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15.97</w:t>
            </w:r>
          </w:p>
        </w:tc>
        <w:tc>
          <w:tcPr>
            <w:tcW w:w="1004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43.29</w:t>
            </w:r>
          </w:p>
        </w:tc>
        <w:tc>
          <w:tcPr>
            <w:tcW w:w="1006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28.08</w:t>
            </w:r>
          </w:p>
        </w:tc>
        <w:tc>
          <w:tcPr>
            <w:tcW w:w="1004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Erzurum</w:t>
            </w:r>
          </w:p>
        </w:tc>
        <w:tc>
          <w:tcPr>
            <w:tcW w:w="1020" w:type="dxa"/>
            <w:vMerge w:val="restart"/>
            <w:tcBorders>
              <w:top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Human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20.12</w:t>
            </w:r>
          </w:p>
        </w:tc>
        <w:tc>
          <w:tcPr>
            <w:tcW w:w="1004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15.92</w:t>
            </w:r>
          </w:p>
        </w:tc>
        <w:tc>
          <w:tcPr>
            <w:tcW w:w="1006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4.2</w:t>
            </w:r>
          </w:p>
        </w:tc>
        <w:tc>
          <w:tcPr>
            <w:tcW w:w="1004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1.84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12.33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17.19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Lightning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0.9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1.2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0.03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0.79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27.93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23.72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5.41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0.6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3.05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14.44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30.25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20.08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tcBorders>
              <w:bottom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48.95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40.84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9.61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0.6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4.92</w:t>
            </w:r>
          </w:p>
        </w:tc>
        <w:tc>
          <w:tcPr>
            <w:tcW w:w="1004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27.55</w:t>
            </w:r>
          </w:p>
        </w:tc>
        <w:tc>
          <w:tcPr>
            <w:tcW w:w="1006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47.44</w:t>
            </w:r>
          </w:p>
        </w:tc>
        <w:tc>
          <w:tcPr>
            <w:tcW w:w="1004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20.08</w:t>
            </w:r>
          </w:p>
        </w:tc>
        <w:tc>
          <w:tcPr>
            <w:tcW w:w="1006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tcBorders>
              <w:bottom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 w:val="restart"/>
            <w:tcBorders>
              <w:top w:val="single" w:sz="6" w:space="0" w:color="000000"/>
              <w:bottom w:val="single" w:sz="12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Elazığ</w:t>
            </w:r>
            <w:proofErr w:type="spellEnd"/>
          </w:p>
        </w:tc>
        <w:tc>
          <w:tcPr>
            <w:tcW w:w="1020" w:type="dxa"/>
            <w:vMerge w:val="restart"/>
            <w:tcBorders>
              <w:top w:val="single" w:sz="6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Human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11.56</w:t>
            </w:r>
          </w:p>
        </w:tc>
        <w:tc>
          <w:tcPr>
            <w:tcW w:w="1004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8.84</w:t>
            </w:r>
          </w:p>
        </w:tc>
        <w:tc>
          <w:tcPr>
            <w:tcW w:w="1006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2.21</w:t>
            </w:r>
          </w:p>
        </w:tc>
        <w:tc>
          <w:tcPr>
            <w:tcW w:w="1004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0.09</w:t>
            </w:r>
          </w:p>
        </w:tc>
        <w:tc>
          <w:tcPr>
            <w:tcW w:w="1006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tcBorders>
              <w:top w:val="single" w:sz="6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0.94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5.95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10.05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5.8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Lightning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2.81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0.43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0.09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0.21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0.45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0.24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43.54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26.11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4.08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0.26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3.7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18.35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22.94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31.37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 w:val="restart"/>
            <w:tcBorders>
              <w:bottom w:val="single" w:sz="12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456" w:type="dxa"/>
            <w:tcBorders>
              <w:top w:val="single" w:sz="8" w:space="0" w:color="000000"/>
            </w:tcBorders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occurrence (%)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57.91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35.37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6.38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0.34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6C6EDC">
        <w:trPr>
          <w:trHeight w:val="255"/>
        </w:trPr>
        <w:tc>
          <w:tcPr>
            <w:tcW w:w="914" w:type="dxa"/>
            <w:vMerge/>
            <w:tcBorders>
              <w:top w:val="single" w:sz="6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vMerge/>
            <w:tcBorders>
              <w:top w:val="single" w:sz="6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EDC" w:rsidRDefault="006C6EDC">
            <w:pPr>
              <w:widowControl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56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 (%)</w:t>
            </w:r>
          </w:p>
        </w:tc>
        <w:tc>
          <w:tcPr>
            <w:tcW w:w="660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4.85</w:t>
            </w:r>
          </w:p>
        </w:tc>
        <w:tc>
          <w:tcPr>
            <w:tcW w:w="1004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24.75</w:t>
            </w:r>
          </w:p>
        </w:tc>
        <w:tc>
          <w:tcPr>
            <w:tcW w:w="1006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33.22</w:t>
            </w:r>
          </w:p>
        </w:tc>
        <w:tc>
          <w:tcPr>
            <w:tcW w:w="1004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37.18</w:t>
            </w:r>
          </w:p>
        </w:tc>
        <w:tc>
          <w:tcPr>
            <w:tcW w:w="1006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04" w:type="dxa"/>
            <w:tcBorders>
              <w:bottom w:val="single" w:sz="12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6C6EDC" w:rsidRDefault="006C6EDC">
      <w:pPr>
        <w:spacing w:line="240" w:lineRule="auto"/>
        <w:jc w:val="both"/>
        <w:rPr>
          <w:b/>
          <w:lang w:val="en-US"/>
        </w:rPr>
      </w:pPr>
    </w:p>
    <w:p w:rsidR="006C6EDC" w:rsidRDefault="00DF6999">
      <w:pPr>
        <w:rPr>
          <w:b/>
          <w:lang w:val="en-US"/>
        </w:rPr>
      </w:pPr>
      <w:r>
        <w:br w:type="page"/>
      </w:r>
    </w:p>
    <w:p w:rsidR="006C6EDC" w:rsidRDefault="00DF6999">
      <w:pPr>
        <w:spacing w:line="240" w:lineRule="auto"/>
        <w:jc w:val="both"/>
        <w:rPr>
          <w:lang w:val="en-US"/>
        </w:rPr>
      </w:pPr>
      <w:r>
        <w:rPr>
          <w:b/>
          <w:lang w:val="en-US"/>
        </w:rPr>
        <w:lastRenderedPageBreak/>
        <w:t>Supplement Table 3.</w:t>
      </w:r>
      <w:r>
        <w:rPr>
          <w:lang w:val="en-US"/>
        </w:rPr>
        <w:t xml:space="preserve"> Number and percentage of wildfires of different origin by regional units.</w:t>
      </w:r>
    </w:p>
    <w:tbl>
      <w:tblPr>
        <w:tblW w:w="9773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600" w:firstRow="0" w:lastRow="0" w:firstColumn="0" w:lastColumn="0" w:noHBand="1" w:noVBand="1"/>
      </w:tblPr>
      <w:tblGrid>
        <w:gridCol w:w="1886"/>
        <w:gridCol w:w="614"/>
        <w:gridCol w:w="901"/>
        <w:gridCol w:w="1020"/>
        <w:gridCol w:w="1035"/>
        <w:gridCol w:w="435"/>
        <w:gridCol w:w="1308"/>
        <w:gridCol w:w="1274"/>
        <w:gridCol w:w="1300"/>
      </w:tblGrid>
      <w:tr w:rsidR="006C6EDC">
        <w:tc>
          <w:tcPr>
            <w:tcW w:w="188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Regional unit</w:t>
            </w:r>
          </w:p>
        </w:tc>
        <w:tc>
          <w:tcPr>
            <w:tcW w:w="357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Number of Fires</w:t>
            </w:r>
          </w:p>
        </w:tc>
        <w:tc>
          <w:tcPr>
            <w:tcW w:w="435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882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Percentage of Fires</w:t>
            </w:r>
          </w:p>
        </w:tc>
      </w:tr>
      <w:tr w:rsidR="006C6EDC">
        <w:trPr>
          <w:trHeight w:val="454"/>
        </w:trPr>
        <w:tc>
          <w:tcPr>
            <w:tcW w:w="1885" w:type="dxa"/>
            <w:vMerge/>
            <w:tcBorders>
              <w:top w:val="single" w:sz="8" w:space="0" w:color="000000"/>
              <w:bottom w:val="single" w:sz="4" w:space="0" w:color="000000"/>
            </w:tcBorders>
            <w:vAlign w:val="bottom"/>
          </w:tcPr>
          <w:p w:rsidR="006C6EDC" w:rsidRDefault="006C6EDC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1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Total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Human</w:t>
            </w:r>
          </w:p>
        </w:tc>
        <w:tc>
          <w:tcPr>
            <w:tcW w:w="10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Lightning</w:t>
            </w: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Unknown</w:t>
            </w:r>
          </w:p>
        </w:tc>
        <w:tc>
          <w:tcPr>
            <w:tcW w:w="435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Human (%)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Lightning (%)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Unknown (%)</w:t>
            </w:r>
          </w:p>
        </w:tc>
      </w:tr>
      <w:tr w:rsidR="006C6EDC">
        <w:tc>
          <w:tcPr>
            <w:tcW w:w="1885" w:type="dxa"/>
            <w:tcBorders>
              <w:top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Adana</w:t>
            </w:r>
          </w:p>
        </w:tc>
        <w:tc>
          <w:tcPr>
            <w:tcW w:w="614" w:type="dxa"/>
            <w:tcBorders>
              <w:top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2452</w:t>
            </w:r>
          </w:p>
        </w:tc>
        <w:tc>
          <w:tcPr>
            <w:tcW w:w="901" w:type="dxa"/>
            <w:tcBorders>
              <w:top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1222</w:t>
            </w:r>
          </w:p>
        </w:tc>
        <w:tc>
          <w:tcPr>
            <w:tcW w:w="1020" w:type="dxa"/>
            <w:tcBorders>
              <w:top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268</w:t>
            </w:r>
          </w:p>
        </w:tc>
        <w:tc>
          <w:tcPr>
            <w:tcW w:w="1035" w:type="dxa"/>
            <w:tcBorders>
              <w:top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962</w:t>
            </w:r>
          </w:p>
        </w:tc>
        <w:tc>
          <w:tcPr>
            <w:tcW w:w="435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tcBorders>
              <w:top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49.8</w:t>
            </w:r>
          </w:p>
        </w:tc>
        <w:tc>
          <w:tcPr>
            <w:tcW w:w="1274" w:type="dxa"/>
            <w:tcBorders>
              <w:top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10.9</w:t>
            </w:r>
          </w:p>
        </w:tc>
        <w:tc>
          <w:tcPr>
            <w:tcW w:w="1300" w:type="dxa"/>
            <w:tcBorders>
              <w:top w:val="single" w:sz="4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39.2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Amasya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1864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616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1151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33.0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5.2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61.7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Ankara</w:t>
            </w:r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1483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490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133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860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33.0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9.0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58.0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Antalya</w:t>
            </w:r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4421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2284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532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1605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51.7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12.0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36.3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Artvin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166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56.0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11.4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32.5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Balıkesir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1409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826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134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449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58.6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9.5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31.9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Bolu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742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288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182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272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38.8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24.5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36.7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Bursa</w:t>
            </w:r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1479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641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201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637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43.3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13.6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43.1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Çanakkale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880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637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121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122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72.4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13.8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13.9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Denizli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1602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781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256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565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48.8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16.0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35.3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Elazığ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1176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267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870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22.7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3.3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74.0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Erzurum</w:t>
            </w:r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333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134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192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40.2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2.1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57.7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Eskişehir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701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254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345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36.2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14.6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49.2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Giresun</w:t>
            </w:r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668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393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271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58.8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0.6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40.6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Isparta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1214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412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317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485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33.9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26.1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40.0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İstanbul</w:t>
            </w:r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2995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1402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1563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46.8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1.0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52.2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İzmir</w:t>
            </w:r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4790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4401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299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91.9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6.2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1.9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Kahramanmaraş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2778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1274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172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1332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45.9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6.2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47.9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Kastamonu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1578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476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202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900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30.2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12.8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57.0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Kayseri</w:t>
            </w:r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398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141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244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35.4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3.3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61.3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Konya</w:t>
            </w:r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682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341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307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50.0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5.0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45.0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Kütahya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1040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440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234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366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42.3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22.5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35.2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Mersin</w:t>
            </w:r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1709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1256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233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73.5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13.6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12.9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Muğla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6329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2636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1897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1796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41.6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30.0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28.4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Sakarya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1225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675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526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55.1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2.0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42.9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Şanlıurfa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1199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337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843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28.1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1.6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70.3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Sinop</w:t>
            </w:r>
            <w:proofErr w:type="spellEnd"/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158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34.8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13.9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51.3</w:t>
            </w:r>
          </w:p>
        </w:tc>
      </w:tr>
      <w:tr w:rsidR="006C6EDC">
        <w:tc>
          <w:tcPr>
            <w:tcW w:w="1885" w:type="dxa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Trabzon</w:t>
            </w:r>
          </w:p>
        </w:tc>
        <w:tc>
          <w:tcPr>
            <w:tcW w:w="61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510</w:t>
            </w:r>
          </w:p>
        </w:tc>
        <w:tc>
          <w:tcPr>
            <w:tcW w:w="901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335</w:t>
            </w:r>
          </w:p>
        </w:tc>
        <w:tc>
          <w:tcPr>
            <w:tcW w:w="102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035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168</w:t>
            </w: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65.7</w:t>
            </w:r>
          </w:p>
        </w:tc>
        <w:tc>
          <w:tcPr>
            <w:tcW w:w="1274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1.4</w:t>
            </w:r>
          </w:p>
        </w:tc>
        <w:tc>
          <w:tcPr>
            <w:tcW w:w="1300" w:type="dxa"/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32.9</w:t>
            </w:r>
          </w:p>
        </w:tc>
      </w:tr>
      <w:tr w:rsidR="006C6EDC">
        <w:tc>
          <w:tcPr>
            <w:tcW w:w="1885" w:type="dxa"/>
            <w:tcBorders>
              <w:bottom w:val="single" w:sz="12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Zonguldak</w:t>
            </w:r>
            <w:proofErr w:type="spellEnd"/>
          </w:p>
        </w:tc>
        <w:tc>
          <w:tcPr>
            <w:tcW w:w="614" w:type="dxa"/>
            <w:tcBorders>
              <w:bottom w:val="single" w:sz="12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1283</w:t>
            </w:r>
          </w:p>
        </w:tc>
        <w:tc>
          <w:tcPr>
            <w:tcW w:w="901" w:type="dxa"/>
            <w:tcBorders>
              <w:bottom w:val="single" w:sz="12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543</w:t>
            </w:r>
          </w:p>
        </w:tc>
        <w:tc>
          <w:tcPr>
            <w:tcW w:w="1020" w:type="dxa"/>
            <w:tcBorders>
              <w:bottom w:val="single" w:sz="12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222</w:t>
            </w:r>
          </w:p>
        </w:tc>
        <w:tc>
          <w:tcPr>
            <w:tcW w:w="1035" w:type="dxa"/>
            <w:tcBorders>
              <w:bottom w:val="single" w:sz="12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518</w:t>
            </w:r>
          </w:p>
        </w:tc>
        <w:tc>
          <w:tcPr>
            <w:tcW w:w="435" w:type="dxa"/>
            <w:tcBorders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6EDC" w:rsidRDefault="006C6EDC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08" w:type="dxa"/>
            <w:tcBorders>
              <w:bottom w:val="single" w:sz="12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42.3</w:t>
            </w:r>
          </w:p>
        </w:tc>
        <w:tc>
          <w:tcPr>
            <w:tcW w:w="1274" w:type="dxa"/>
            <w:tcBorders>
              <w:bottom w:val="single" w:sz="12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17.3</w:t>
            </w:r>
          </w:p>
        </w:tc>
        <w:tc>
          <w:tcPr>
            <w:tcW w:w="1300" w:type="dxa"/>
            <w:tcBorders>
              <w:bottom w:val="single" w:sz="12" w:space="0" w:color="000000"/>
            </w:tcBorders>
            <w:vAlign w:val="bottom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40.4</w:t>
            </w:r>
          </w:p>
        </w:tc>
      </w:tr>
    </w:tbl>
    <w:p w:rsidR="006C6EDC" w:rsidRDefault="006C6EDC">
      <w:pPr>
        <w:rPr>
          <w:b/>
          <w:lang w:val="en-US"/>
        </w:rPr>
      </w:pPr>
    </w:p>
    <w:p w:rsidR="00470F07" w:rsidRDefault="00470F07">
      <w:pPr>
        <w:spacing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470F07" w:rsidRDefault="00470F07">
      <w:pPr>
        <w:rPr>
          <w:b/>
          <w:lang w:val="en-US"/>
        </w:rPr>
      </w:pPr>
    </w:p>
    <w:p w:rsidR="006C6EDC" w:rsidRDefault="00DF6999">
      <w:pPr>
        <w:jc w:val="both"/>
        <w:rPr>
          <w:lang w:val="en-US"/>
        </w:rPr>
      </w:pPr>
      <w:r>
        <w:rPr>
          <w:b/>
          <w:lang w:val="en-US"/>
        </w:rPr>
        <w:t xml:space="preserve">Supplement Table 4. </w:t>
      </w:r>
      <w:r>
        <w:rPr>
          <w:lang w:val="en-US"/>
        </w:rPr>
        <w:t>The top-10 list of forest sub-districts (local units) with the highest percentage of lightning-induced fires. The regional units they belong to, the percentages of lightning-induced, human-caused, and unknown-origin fires, and the total number of wildfires between 2002 and 2022 in each local unit are given. Only local units with a minimum of 10 fires were considered.</w:t>
      </w:r>
    </w:p>
    <w:p w:rsidR="006C6EDC" w:rsidRDefault="006C6EDC">
      <w:pPr>
        <w:rPr>
          <w:lang w:val="en-US"/>
        </w:rPr>
      </w:pPr>
    </w:p>
    <w:tbl>
      <w:tblPr>
        <w:tblW w:w="90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501"/>
        <w:gridCol w:w="1499"/>
        <w:gridCol w:w="1636"/>
        <w:gridCol w:w="1365"/>
        <w:gridCol w:w="1499"/>
        <w:gridCol w:w="1500"/>
      </w:tblGrid>
      <w:tr w:rsidR="006C6EDC">
        <w:tc>
          <w:tcPr>
            <w:tcW w:w="1500" w:type="dxa"/>
            <w:vMerge w:val="restart"/>
            <w:tcBorders>
              <w:top w:val="single" w:sz="12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Local unit</w:t>
            </w:r>
          </w:p>
        </w:tc>
        <w:tc>
          <w:tcPr>
            <w:tcW w:w="1499" w:type="dxa"/>
            <w:vMerge w:val="restart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Regional unit</w:t>
            </w:r>
          </w:p>
        </w:tc>
        <w:tc>
          <w:tcPr>
            <w:tcW w:w="4500" w:type="dxa"/>
            <w:gridSpan w:val="3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Wildfire origin</w:t>
            </w:r>
          </w:p>
        </w:tc>
        <w:tc>
          <w:tcPr>
            <w:tcW w:w="150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C6EDC" w:rsidRDefault="00DF6999">
            <w:pPr>
              <w:widowControl w:val="0"/>
              <w:spacing w:line="240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Total number of wildfires</w:t>
            </w:r>
          </w:p>
        </w:tc>
      </w:tr>
      <w:tr w:rsidR="006C6EDC">
        <w:tc>
          <w:tcPr>
            <w:tcW w:w="1500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6C6EDC" w:rsidRDefault="006C6EDC">
            <w:pPr>
              <w:widowControl w:val="0"/>
              <w:spacing w:line="240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99" w:type="dxa"/>
            <w:vMerge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C6EDC" w:rsidRDefault="006C6EDC">
            <w:pPr>
              <w:widowControl w:val="0"/>
              <w:spacing w:line="240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636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Lightning (%)</w:t>
            </w:r>
          </w:p>
        </w:tc>
        <w:tc>
          <w:tcPr>
            <w:tcW w:w="1365" w:type="dxa"/>
            <w:tcBorders>
              <w:top w:val="single" w:sz="12" w:space="0" w:color="000000"/>
              <w:bottom w:val="single" w:sz="8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Human (%)</w:t>
            </w:r>
          </w:p>
        </w:tc>
        <w:tc>
          <w:tcPr>
            <w:tcW w:w="1499" w:type="dxa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Unknown (%)</w:t>
            </w:r>
          </w:p>
        </w:tc>
        <w:tc>
          <w:tcPr>
            <w:tcW w:w="150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6C6EDC" w:rsidRDefault="006C6EDC">
            <w:pPr>
              <w:widowControl w:val="0"/>
              <w:spacing w:line="240" w:lineRule="auto"/>
              <w:rPr>
                <w:b/>
                <w:sz w:val="20"/>
                <w:szCs w:val="20"/>
                <w:lang w:val="en-US"/>
              </w:rPr>
            </w:pPr>
          </w:p>
        </w:tc>
      </w:tr>
      <w:tr w:rsidR="006C6EDC">
        <w:tc>
          <w:tcPr>
            <w:tcW w:w="1500" w:type="dxa"/>
            <w:tcBorders>
              <w:top w:val="single" w:sz="8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Karacaören</w:t>
            </w:r>
            <w:proofErr w:type="spellEnd"/>
          </w:p>
        </w:tc>
        <w:tc>
          <w:tcPr>
            <w:tcW w:w="1499" w:type="dxa"/>
            <w:tcBorders>
              <w:top w:val="single" w:sz="8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Denizli</w:t>
            </w:r>
            <w:proofErr w:type="spellEnd"/>
          </w:p>
        </w:tc>
        <w:tc>
          <w:tcPr>
            <w:tcW w:w="1636" w:type="dxa"/>
            <w:tcBorders>
              <w:top w:val="single" w:sz="8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</w:t>
            </w:r>
          </w:p>
        </w:tc>
        <w:tc>
          <w:tcPr>
            <w:tcW w:w="1365" w:type="dxa"/>
            <w:tcBorders>
              <w:top w:val="single" w:sz="8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499" w:type="dxa"/>
            <w:tcBorders>
              <w:top w:val="single" w:sz="8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500" w:type="dxa"/>
            <w:tcBorders>
              <w:top w:val="single" w:sz="8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</w:p>
        </w:tc>
      </w:tr>
      <w:tr w:rsidR="006C6EDC"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Çiçekli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Denizli</w:t>
            </w:r>
            <w:proofErr w:type="spellEnd"/>
          </w:p>
        </w:tc>
        <w:tc>
          <w:tcPr>
            <w:tcW w:w="1636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365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</w:t>
            </w:r>
          </w:p>
        </w:tc>
      </w:tr>
      <w:tr w:rsidR="006C6EDC"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Ağla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Muğla</w:t>
            </w:r>
            <w:proofErr w:type="spellEnd"/>
          </w:p>
        </w:tc>
        <w:tc>
          <w:tcPr>
            <w:tcW w:w="1636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</w:t>
            </w:r>
          </w:p>
        </w:tc>
        <w:tc>
          <w:tcPr>
            <w:tcW w:w="1365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</w:p>
        </w:tc>
      </w:tr>
      <w:tr w:rsidR="006C6EDC"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Cebel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Isparta</w:t>
            </w:r>
            <w:proofErr w:type="spellEnd"/>
          </w:p>
        </w:tc>
        <w:tc>
          <w:tcPr>
            <w:tcW w:w="1636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</w:t>
            </w:r>
          </w:p>
        </w:tc>
        <w:tc>
          <w:tcPr>
            <w:tcW w:w="1365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</w:tr>
      <w:tr w:rsidR="006C6EDC"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Sultaniye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Muğla</w:t>
            </w:r>
            <w:proofErr w:type="spellEnd"/>
          </w:p>
        </w:tc>
        <w:tc>
          <w:tcPr>
            <w:tcW w:w="1636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</w:t>
            </w:r>
          </w:p>
        </w:tc>
        <w:tc>
          <w:tcPr>
            <w:tcW w:w="1365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</w:t>
            </w:r>
          </w:p>
        </w:tc>
      </w:tr>
      <w:tr w:rsidR="006C6EDC"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Çakmak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Muğla</w:t>
            </w:r>
            <w:proofErr w:type="spellEnd"/>
          </w:p>
        </w:tc>
        <w:tc>
          <w:tcPr>
            <w:tcW w:w="1636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</w:t>
            </w:r>
          </w:p>
        </w:tc>
        <w:tc>
          <w:tcPr>
            <w:tcW w:w="1365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</w:t>
            </w:r>
          </w:p>
        </w:tc>
      </w:tr>
      <w:tr w:rsidR="006C6EDC"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Namnam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Muğla</w:t>
            </w:r>
            <w:proofErr w:type="spellEnd"/>
          </w:p>
        </w:tc>
        <w:tc>
          <w:tcPr>
            <w:tcW w:w="1636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</w:t>
            </w:r>
          </w:p>
        </w:tc>
        <w:tc>
          <w:tcPr>
            <w:tcW w:w="1365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</w:t>
            </w:r>
          </w:p>
        </w:tc>
      </w:tr>
      <w:tr w:rsidR="006C6EDC"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Yılanlı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Muğla</w:t>
            </w:r>
            <w:proofErr w:type="spellEnd"/>
          </w:p>
        </w:tc>
        <w:tc>
          <w:tcPr>
            <w:tcW w:w="1636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</w:t>
            </w:r>
          </w:p>
        </w:tc>
        <w:tc>
          <w:tcPr>
            <w:tcW w:w="1365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</w:t>
            </w:r>
          </w:p>
        </w:tc>
      </w:tr>
      <w:tr w:rsidR="006C6EDC"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Eskere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Denizli</w:t>
            </w:r>
            <w:proofErr w:type="spellEnd"/>
          </w:p>
        </w:tc>
        <w:tc>
          <w:tcPr>
            <w:tcW w:w="1636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</w:t>
            </w:r>
          </w:p>
        </w:tc>
        <w:tc>
          <w:tcPr>
            <w:tcW w:w="1365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99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500" w:type="dxa"/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</w:t>
            </w:r>
          </w:p>
        </w:tc>
      </w:tr>
      <w:tr w:rsidR="006C6EDC">
        <w:tc>
          <w:tcPr>
            <w:tcW w:w="1500" w:type="dxa"/>
            <w:tcBorders>
              <w:bottom w:val="single" w:sz="12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Çaldere</w:t>
            </w:r>
            <w:proofErr w:type="spellEnd"/>
          </w:p>
        </w:tc>
        <w:tc>
          <w:tcPr>
            <w:tcW w:w="1499" w:type="dxa"/>
            <w:tcBorders>
              <w:bottom w:val="single" w:sz="12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Muğla</w:t>
            </w:r>
            <w:proofErr w:type="spellEnd"/>
          </w:p>
        </w:tc>
        <w:tc>
          <w:tcPr>
            <w:tcW w:w="1636" w:type="dxa"/>
            <w:tcBorders>
              <w:bottom w:val="single" w:sz="12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1365" w:type="dxa"/>
            <w:tcBorders>
              <w:bottom w:val="single" w:sz="12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499" w:type="dxa"/>
            <w:tcBorders>
              <w:bottom w:val="single" w:sz="12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1500" w:type="dxa"/>
            <w:tcBorders>
              <w:bottom w:val="single" w:sz="12" w:space="0" w:color="000000"/>
            </w:tcBorders>
            <w:shd w:val="clear" w:color="auto" w:fill="auto"/>
          </w:tcPr>
          <w:p w:rsidR="006C6EDC" w:rsidRDefault="00DF699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114</w:t>
            </w:r>
          </w:p>
        </w:tc>
      </w:tr>
    </w:tbl>
    <w:p w:rsidR="006C6EDC" w:rsidRDefault="006C6EDC">
      <w:pPr>
        <w:rPr>
          <w:lang w:val="en-US"/>
        </w:rPr>
      </w:pPr>
    </w:p>
    <w:p w:rsidR="006C6EDC" w:rsidRDefault="00DF6999">
      <w:pPr>
        <w:rPr>
          <w:lang w:val="en-US"/>
        </w:rPr>
      </w:pPr>
      <w:r>
        <w:br w:type="page"/>
      </w:r>
    </w:p>
    <w:p w:rsidR="006C6EDC" w:rsidRDefault="00DF6999">
      <w:pPr>
        <w:spacing w:line="240" w:lineRule="auto"/>
        <w:ind w:left="272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0" behindDoc="0" locked="0" layoutInCell="0" allowOverlap="1" wp14:anchorId="7775A71F">
                <wp:simplePos x="0" y="0"/>
                <wp:positionH relativeFrom="column">
                  <wp:posOffset>476250</wp:posOffset>
                </wp:positionH>
                <wp:positionV relativeFrom="paragraph">
                  <wp:posOffset>329565</wp:posOffset>
                </wp:positionV>
                <wp:extent cx="276225" cy="250825"/>
                <wp:effectExtent l="0" t="0" r="0" b="0"/>
                <wp:wrapNone/>
                <wp:docPr id="2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20" cy="25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C6EDC" w:rsidRDefault="00DF6999">
                            <w:pPr>
                              <w:pStyle w:val="FrameContents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tIns="91440" bIns="9144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5A71F" id="Metin Kutusu 2" o:spid="_x0000_s1026" style="position:absolute;left:0;text-align:left;margin-left:37.5pt;margin-top:25.95pt;width:21.75pt;height:19.75pt;z-index: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" o:allowincell="f" filled="f" stroked="f">
                <v:textbox style="mso-fit-shape-to-text:t" inset=",7.2pt,,7.2pt">
                  <w:txbxContent>
                    <w:p w:rsidR="006C6EDC" w:rsidRDefault="00DF6999">
                      <w:pPr>
                        <w:pStyle w:val="FrameContents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288790" cy="2564130"/>
            <wp:effectExtent l="0" t="0" r="0" b="0"/>
            <wp:docPr id="2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DC" w:rsidRDefault="00DF6999">
      <w:pPr>
        <w:spacing w:line="240" w:lineRule="auto"/>
        <w:ind w:left="272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2" behindDoc="0" locked="0" layoutInCell="0" allowOverlap="1" wp14:anchorId="607C7EE6">
                <wp:simplePos x="0" y="0"/>
                <wp:positionH relativeFrom="column">
                  <wp:posOffset>476250</wp:posOffset>
                </wp:positionH>
                <wp:positionV relativeFrom="paragraph">
                  <wp:posOffset>303530</wp:posOffset>
                </wp:positionV>
                <wp:extent cx="276225" cy="250825"/>
                <wp:effectExtent l="0" t="0" r="0" b="0"/>
                <wp:wrapNone/>
                <wp:docPr id="25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20" cy="25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C6EDC" w:rsidRDefault="00DF6999">
                            <w:pPr>
                              <w:pStyle w:val="FrameContents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tIns="91440" bIns="9144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C7EE6" id="_x0000_s1027" style="position:absolute;left:0;text-align:left;margin-left:37.5pt;margin-top:23.9pt;width:21.75pt;height:19.75pt;z-index: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" o:allowincell="f" filled="f" stroked="f">
                <v:textbox style="mso-fit-shape-to-text:t" inset=",7.2pt,,7.2pt">
                  <w:txbxContent>
                    <w:p w:rsidR="006C6EDC" w:rsidRDefault="00DF6999">
                      <w:pPr>
                        <w:pStyle w:val="FrameContents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288790" cy="2573020"/>
            <wp:effectExtent l="0" t="0" r="0" b="0"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DC" w:rsidRDefault="00DF6999">
      <w:pPr>
        <w:spacing w:line="240" w:lineRule="auto"/>
        <w:ind w:left="272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4" behindDoc="0" locked="0" layoutInCell="0" allowOverlap="1" wp14:anchorId="4A4599A0">
                <wp:simplePos x="0" y="0"/>
                <wp:positionH relativeFrom="column">
                  <wp:posOffset>476250</wp:posOffset>
                </wp:positionH>
                <wp:positionV relativeFrom="paragraph">
                  <wp:posOffset>321945</wp:posOffset>
                </wp:positionV>
                <wp:extent cx="276225" cy="250825"/>
                <wp:effectExtent l="0" t="0" r="0" b="0"/>
                <wp:wrapNone/>
                <wp:docPr id="28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20" cy="25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C6EDC" w:rsidRDefault="00DF6999">
                            <w:pPr>
                              <w:pStyle w:val="FrameContents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tIns="91440" bIns="9144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599A0" id="_x0000_s1028" style="position:absolute;left:0;text-align:left;margin-left:37.5pt;margin-top:25.35pt;width:21.75pt;height:19.75pt;z-index: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" o:allowincell="f" filled="f" stroked="f">
                <v:textbox style="mso-fit-shape-to-text:t" inset=",7.2pt,,7.2pt">
                  <w:txbxContent>
                    <w:p w:rsidR="006C6EDC" w:rsidRDefault="00DF6999">
                      <w:pPr>
                        <w:pStyle w:val="FrameContents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288790" cy="2573020"/>
            <wp:effectExtent l="0" t="0" r="0" b="0"/>
            <wp:docPr id="3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DC" w:rsidRDefault="00DF6999">
      <w:pPr>
        <w:rPr>
          <w:lang w:val="en-US"/>
        </w:rPr>
      </w:pPr>
      <w:r>
        <w:rPr>
          <w:b/>
          <w:lang w:val="en-US"/>
        </w:rPr>
        <w:t>Supplement Figure 1.</w:t>
      </w:r>
      <w:r>
        <w:rPr>
          <w:lang w:val="en-US"/>
        </w:rPr>
        <w:t xml:space="preserve"> Administrative boundaries of forest regional directorates (a), forest district directorates (b), and forest sub-district directorates (c).</w:t>
      </w:r>
      <w:bookmarkStart w:id="0" w:name="_GoBack"/>
      <w:bookmarkEnd w:id="0"/>
    </w:p>
    <w:sectPr w:rsidR="006C6EDC">
      <w:pgSz w:w="11906" w:h="16838"/>
      <w:pgMar w:top="1440" w:right="1440" w:bottom="1440" w:left="1440" w:header="0" w:footer="0" w:gutter="0"/>
      <w:lnNumType w:countBy="1" w:distance="283" w:restart="continuous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C4B90"/>
    <w:multiLevelType w:val="multilevel"/>
    <w:tmpl w:val="1A64D2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4B640868"/>
    <w:multiLevelType w:val="multilevel"/>
    <w:tmpl w:val="6B32B95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wRic3MLQ3MTEwMjIyUdpeDU4uLM/DyQAqNaAHaqtZ8sAAAA"/>
  </w:docVars>
  <w:rsids>
    <w:rsidRoot w:val="006C6EDC"/>
    <w:rsid w:val="00470F07"/>
    <w:rsid w:val="004A226F"/>
    <w:rsid w:val="006C6EDC"/>
    <w:rsid w:val="008D5A5E"/>
    <w:rsid w:val="00DF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66C38"/>
  <w15:docId w15:val="{A96FCCDA-1684-4AF8-A876-0B979367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tr-T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701D"/>
    <w:pPr>
      <w:spacing w:line="276" w:lineRule="auto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37281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qFormat/>
    <w:rsid w:val="00637281"/>
  </w:style>
  <w:style w:type="character" w:customStyle="1" w:styleId="HeaderChar">
    <w:name w:val="Header Char"/>
    <w:basedOn w:val="DefaultParagraphFont"/>
    <w:link w:val="Header"/>
    <w:uiPriority w:val="99"/>
    <w:qFormat/>
    <w:rsid w:val="00B34D25"/>
  </w:style>
  <w:style w:type="character" w:customStyle="1" w:styleId="FooterChar">
    <w:name w:val="Footer Char"/>
    <w:basedOn w:val="DefaultParagraphFont"/>
    <w:link w:val="Footer"/>
    <w:uiPriority w:val="99"/>
    <w:qFormat/>
    <w:rsid w:val="00B34D25"/>
  </w:style>
  <w:style w:type="character" w:styleId="Hyperlink">
    <w:name w:val="Hyperlink"/>
    <w:basedOn w:val="DefaultParagraphFont"/>
    <w:uiPriority w:val="99"/>
    <w:unhideWhenUsed/>
    <w:rsid w:val="00B34D2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B34D25"/>
    <w:rPr>
      <w:color w:val="605E5C"/>
      <w:shd w:val="clear" w:color="auto" w:fill="E1DFD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823BCC"/>
    <w:rPr>
      <w:b/>
      <w:bCs/>
      <w:sz w:val="20"/>
      <w:szCs w:val="20"/>
    </w:rPr>
  </w:style>
  <w:style w:type="character" w:customStyle="1" w:styleId="zmlenmeyenBahsetme1">
    <w:name w:val="Çözümlenmeyen Bahsetme1"/>
    <w:basedOn w:val="DefaultParagraphFont"/>
    <w:uiPriority w:val="99"/>
    <w:semiHidden/>
    <w:unhideWhenUsed/>
    <w:qFormat/>
    <w:rsid w:val="006314EA"/>
    <w:rPr>
      <w:color w:val="605E5C"/>
      <w:shd w:val="clear" w:color="auto" w:fill="E1DFDD"/>
    </w:rPr>
  </w:style>
  <w:style w:type="character" w:customStyle="1" w:styleId="LineNumbering">
    <w:name w:val="Line Numbering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37281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B34D25"/>
    <w:pPr>
      <w:tabs>
        <w:tab w:val="center" w:pos="4703"/>
        <w:tab w:val="right" w:pos="9406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B34D25"/>
    <w:pPr>
      <w:tabs>
        <w:tab w:val="center" w:pos="4703"/>
        <w:tab w:val="right" w:pos="9406"/>
      </w:tabs>
      <w:spacing w:line="240" w:lineRule="auto"/>
    </w:pPr>
  </w:style>
  <w:style w:type="paragraph" w:styleId="ListBullet">
    <w:name w:val="List Bullet"/>
    <w:basedOn w:val="Normal"/>
    <w:uiPriority w:val="99"/>
    <w:unhideWhenUsed/>
    <w:qFormat/>
    <w:rsid w:val="003F7099"/>
    <w:pPr>
      <w:numPr>
        <w:numId w:val="1"/>
      </w:numPr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B611F9"/>
    <w:rPr>
      <w:rFonts w:ascii="Times New Roman" w:hAnsi="Times New Roman" w:cs="Times New Roman"/>
      <w:sz w:val="24"/>
      <w:szCs w:val="24"/>
    </w:rPr>
  </w:style>
  <w:style w:type="paragraph" w:styleId="Revision">
    <w:name w:val="Revision"/>
    <w:uiPriority w:val="99"/>
    <w:semiHidden/>
    <w:qFormat/>
    <w:rsid w:val="000F488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823BCC"/>
    <w:rPr>
      <w:b/>
      <w:bCs/>
    </w:rPr>
  </w:style>
  <w:style w:type="paragraph" w:customStyle="1" w:styleId="FrameContents">
    <w:name w:val="Frame Contents"/>
    <w:basedOn w:val="Normal"/>
    <w:qFormat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A5FE2-C94E-454D-BECF-6EBEE365B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825</Words>
  <Characters>4707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dc:description/>
  <cp:lastModifiedBy>pankaj negi</cp:lastModifiedBy>
  <cp:revision>2</cp:revision>
  <dcterms:created xsi:type="dcterms:W3CDTF">2024-08-30T02:41:00Z</dcterms:created>
  <dcterms:modified xsi:type="dcterms:W3CDTF">2024-08-30T02:41:00Z</dcterms:modified>
  <dc:language>en-US</dc:language>
</cp:coreProperties>
</file>